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0ABC44D9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635"/>
                <wp:effectExtent l="2540" t="1905" r="2540" b="1905"/>
                <wp:wrapNone/>
                <wp:docPr id="1" name="Line 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38.6pt" to="42.9pt,538.6pt" ID="Line 187" stroked="t" o:allowincell="f" style="position:absolute;mso-position-horizontal-relative:page;mso-position-vertical-relative:page" wp14:anchorId="0ABC44D9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73A9E63C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635" cy="635"/>
                <wp:effectExtent l="5080" t="5080" r="5080" b="5080"/>
                <wp:wrapNone/>
                <wp:docPr id="2" name="Line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38.6pt" to="61.45pt,538.6pt" ID="Line 186" stroked="t" o:allowincell="f" style="position:absolute;mso-position-horizontal-relative:page;mso-position-vertical-relative:page" wp14:anchorId="73A9E63C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itle"/>
        <w:rPr/>
      </w:pPr>
      <w:r>
        <w:rPr>
          <w:color w:val="4FAAC3"/>
          <w:w w:val="90"/>
        </w:rPr>
        <w:t>Wymagania</w:t>
      </w:r>
      <w:r>
        <w:rPr>
          <w:color w:val="4FAAC3"/>
          <w:spacing w:val="-20"/>
          <w:w w:val="90"/>
        </w:rPr>
        <w:t xml:space="preserve"> </w:t>
      </w:r>
      <w:r>
        <w:rPr>
          <w:color w:val="4FAAC3"/>
          <w:w w:val="90"/>
        </w:rPr>
        <w:t xml:space="preserve">edukacyjne </w:t>
      </w:r>
      <w:r>
        <w:rPr>
          <w:color w:val="4FAAC3"/>
          <w:w w:val="90"/>
        </w:rPr>
        <w:t>z geografii</w:t>
      </w:r>
      <w:r>
        <w:rPr>
          <w:color w:val="4FAAC3"/>
          <w:w w:val="90"/>
        </w:rPr>
        <w:t>.</w:t>
      </w:r>
      <w:r>
        <w:rPr>
          <w:color w:val="4FAAC3"/>
          <w:spacing w:val="-20"/>
          <w:w w:val="90"/>
        </w:rPr>
        <w:t xml:space="preserve"> </w:t>
      </w:r>
      <w:r>
        <w:rPr>
          <w:color w:val="4FAAC3"/>
          <w:w w:val="90"/>
        </w:rPr>
        <w:t>Klasa</w:t>
      </w:r>
      <w:r>
        <w:rPr>
          <w:color w:val="4FAAC3"/>
          <w:spacing w:val="-21"/>
          <w:w w:val="90"/>
        </w:rPr>
        <w:t xml:space="preserve"> </w:t>
      </w:r>
      <w:r>
        <w:rPr>
          <w:color w:val="4FAAC3"/>
          <w:w w:val="90"/>
        </w:rPr>
        <w:t>5</w:t>
      </w:r>
    </w:p>
    <w:p>
      <w:pPr>
        <w:pStyle w:val="Title"/>
        <w:rPr/>
      </w:pPr>
      <w:r>
        <w:rPr>
          <w:color w:val="4FAAC3"/>
          <w:w w:val="90"/>
        </w:rPr>
        <w:t>Opracowano na podstawie materiałów wydawnictwa WSiP</w:t>
      </w:r>
    </w:p>
    <w:p>
      <w:pPr>
        <w:pStyle w:val="BodyText"/>
        <w:spacing w:before="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2921" w:type="dxa"/>
        <w:jc w:val="left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1"/>
        <w:gridCol w:w="2181"/>
        <w:gridCol w:w="2181"/>
        <w:gridCol w:w="2181"/>
        <w:gridCol w:w="2181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6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1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1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6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I.1.</w:t>
            </w:r>
          </w:p>
        </w:tc>
        <w:tc>
          <w:tcPr>
            <w:tcW w:w="145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 xml:space="preserve">Mapa </w:t>
              <w:br/>
              <w:t xml:space="preserve">źródłem </w:t>
              <w:br/>
              <w:t>informacji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podstawowe cechy mapy.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jej elementy (treść, tytuł, skalę, legendę, siatkę kartograficzną);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odczytuje informacje </w:t>
              <w:br/>
              <w:t>z mapy i planu, stosując legendę.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północ i pozostałe kierunki świata;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na czym polega zorientowanie mapy.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rozróżnia różne rodzaje map (tematyczne, ogólnogeograficzne) </w:t>
              <w:br/>
              <w:t>i podaje ich przykłady.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wykorzystuje zdobytą wiedzę do analizy map pod kątem ich przydatności w różnych sytuacjach, np. planowania podróży, zrozumienia zjawisk geograficznych itp.;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potrafi krytycznie ocenić informacje zawarte na mapach różnego typu, analizując ich dokładność, skalę i przeznaczenie.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I.2.</w:t>
            </w: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eastAsia="en-US" w:bidi="ar-SA"/>
              </w:rPr>
              <w:t xml:space="preserve">Skala na mapach </w:t>
              <w:br/>
              <w:t>i planach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pojęcie skali;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skalę z mapy.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sposoby zapisu skali na mapie (skala liczbowa, mianowana, podziałka liniowa);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zapisuje tę samą skalę w różnej postaci (liczbowej, mianowanej, podziałki liniowej).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ze sobą skale;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na czym polega generalizacja mapy.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stosuje skale map do rozwiązywania praktycznych zadań związanych np. z planowaniem podróży;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analizuje, jak wybór skali wpływa na dokładność i rodzaj przekazywanych informacji na mapie.</w:t>
            </w:r>
          </w:p>
        </w:tc>
      </w:tr>
      <w:tr>
        <w:trPr>
          <w:trHeight w:val="2113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hanging="7"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I.3.</w:t>
            </w: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15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eastAsia="en-US" w:bidi="ar-SA"/>
              </w:rPr>
              <w:t xml:space="preserve">Ukształtowanie powierzchni </w:t>
              <w:br/>
              <w:t>na mapie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pojęcia: wysokość bezwzględna, wysokość względna, poziomica;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czyta treść mapy ogólnogeograficznej Polski, zwracając uwagę na zastosowaną skalę barw.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wysokości bezwzględne z rysunku poziomicowego i mapy hipsometrycznej;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map, gdzie stosuje się układ poziomic do przedstawienia rzeźby terenu.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jak powstają mapy poziomicowe i hipsometrycznej;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oblicza wysokość względną między dwoma obiektami, np. podnóżem a szczytem.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ukształtowanie terenu, posługując się mapą poziomicową lub hipsometryczną;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dlaczego poziomice na mapach się nie przecinają.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na podstawie mapy poziomicowej lub hipsometrycznej analizuje i interpretuje rzeźbę terenu.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gNumType w:fmt="decimal"/>
          <w:formProt w:val="false"/>
          <w:textDirection w:val="lrTb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 wp14:anchorId="501AECF9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635"/>
                <wp:effectExtent l="2540" t="1905" r="2540" b="1905"/>
                <wp:wrapNone/>
                <wp:docPr id="3" name="Line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24.4pt" to="42.9pt,524.4pt" ID="Line 173" stroked="t" o:allowincell="f" style="position:absolute;mso-position-horizontal-relative:page;mso-position-vertical-relative:page" wp14:anchorId="501AECF9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 wp14:anchorId="3401E7C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635" cy="635"/>
                <wp:effectExtent l="5080" t="5080" r="5080" b="5080"/>
                <wp:wrapNone/>
                <wp:docPr id="4" name="Line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24.4pt" to="61.45pt,524.4pt" ID="Line 172" stroked="t" o:allowincell="f" style="position:absolute;mso-position-horizontal-relative:page;mso-position-vertical-relative:page" wp14:anchorId="3401E7CC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1"/>
        <w:rPr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I.4.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144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eastAsia="en-US" w:bidi="ar-SA"/>
              </w:rPr>
              <w:t xml:space="preserve">Południki </w:t>
              <w:br/>
              <w:t>i równoleżniki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globusie i mapie świata bieguny oraz południki i równoleżniki.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globusie i mapie świata południk zerowy i 180° oraz równik, zwrotniki i koła podbiegunowe;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globusie i mapie świata półkule Ziemi i podaje ich nazwy.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cechy południków i równoleżników, wyjaśnia pojęcia: siatka geograficzna i kartograficzna;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stosuje skróty międzynarodowe kierunków świata.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kształt południków i równoleżników różni się na globusie i na mapie;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określa położenie obiektów na globusie i na mapie, podając półkule, na których się znajdują.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jak system południków i równoleżników pozwala na precyzyjne określanie położenia każdego miejsca na Ziemi.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I.5.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 xml:space="preserve">Kontynenty </w:t>
              <w:br/>
              <w:t>i oceany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nazwy kontynentów i oceanów;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ich położenie na globusie i mapie świata.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określa położenie kontynentów i oceanów względem równika i południka zerowego;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wiek, w którym rozpoczęła się epoka wielkich odkryć geograficznych.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porządkuje kontynenty i oceany pod względem ich powierzchni od największych do najmniejszych;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cechy wielkich form ukształtowania powierzchni Ziemi (nizin, wyżyn i gór).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przykładowe powody, dla których Europejczycy wyruszali na trasy wielkich wypraw geograficznych;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wielkich odkrywców i podróżników oraz wskazuje na mapie trasy ich wypraw.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wykonuje prostą mapę świata z zaznaczonymi kontynentami i oceanami, korzystając z narzędzi plastycznych lub cyfrowych;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planuje wyimaginowaną podróż dookoła świata, wskazując trasy morskie i kontynenty, które chciałby odwiedzić, uzasadniając swój wybór.</w:t>
            </w:r>
          </w:p>
        </w:tc>
      </w:tr>
      <w:tr>
        <w:trPr>
          <w:trHeight w:val="352" w:hRule="atLeast"/>
        </w:trPr>
        <w:tc>
          <w:tcPr>
            <w:tcW w:w="12922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color="auto" w:fill="FDC689" w:val="clear"/>
          </w:tcPr>
          <w:p>
            <w:pPr>
              <w:pStyle w:val="TableParagraph"/>
              <w:widowControl w:val="false"/>
              <w:spacing w:before="60" w:after="0"/>
              <w:ind w:left="28" w:right="136"/>
              <w:jc w:val="center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Podsumowanie działu I</w:t>
            </w:r>
          </w:p>
        </w:tc>
      </w:tr>
      <w:tr>
        <w:trPr>
          <w:trHeight w:val="2113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hanging="7"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II.1.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15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 xml:space="preserve">Różnorodność krajobrazów </w:t>
              <w:br/>
              <w:t>w Polsce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pojęcie krajobrazu;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elementy środowiska wchodzące w skład krajobrazu;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nazwy pasów krajobrazowych w Polsce.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dzieli krajobrazy na naturalne i kulturowe;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pasów krajobrazowych Polski;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krajobraz, który widzi wokół domu lub szkoły;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określa nazwę pasa krajobrazowego, w którym jest położona miejscowość, w której znajduje się szkoła.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czynników wewnętrznych i zewnętrznych, które zadecydowały o dzisiejszym ukształtowaniu powierzchni Polski;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różnice między krajobrazem naturalnym a kulturowym i podaje przykłady krajobrazów naturalnych i kulturowych.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nazywa i wskazuje na mapie położenie wybranych krain geograficznych;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przedstawia główne cechy krajobrazów Polski i wykazuje ich zróżnicowanie.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różne krajobrazy Polski pod względem ich przyrodniczych i kulturowych aspektów, wykorzystując do tego mapy, atlasy oraz dodatkowe źródła informacji.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 wp14:anchorId="51AC51D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635"/>
                <wp:effectExtent l="2540" t="1905" r="2540" b="1905"/>
                <wp:wrapNone/>
                <wp:docPr id="5" name="Line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38.6pt" to="42.9pt,538.6pt" ID="Line 162" stroked="t" o:allowincell="f" style="position:absolute;mso-position-horizontal-relative:page;mso-position-vertical-relative:page" wp14:anchorId="51AC51DD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5ACD6845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635" cy="635"/>
                <wp:effectExtent l="5080" t="5080" r="5080" b="5080"/>
                <wp:wrapNone/>
                <wp:docPr id="6" name="Line 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38.6pt" to="61.45pt,538.6pt" ID="Line 161" stroked="t" o:allowincell="f" style="position:absolute;mso-position-horizontal-relative:page;mso-position-vertical-relative:page" wp14:anchorId="5ACD6845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II.2.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nadmorski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wskazuje na mapie położenie pasa krajobrazowego pobrzeża;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nazwy głównych typów wybrzeży morskich w Polsce;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co najmniej dwa przykłady cech charakterystycznych dla Wybrzeża Słowińskiego.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Pobrzeża Szczecińskiego, Koszalińskiego i Gdańskiego;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Wybrzeża Słowińskiego, w tym miast, jezior i Słowińskiego Parku Narodowego;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charakterystycznych zjawisk pogodowych występujących w pasie nadmorskim (sztorm, bryza);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cechy przyrodnicze i kulturowe krajobrazu Wybrzeża Słowińskiego.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ze sobą wybrzeża wydmowe i klifowe;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Słowiński Park Narodowy.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zależność między rozbudową mierzei a powstawaniem jezior przybrzeżnych;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zmienność kierunku wiania bryzy dziennej i nocnej.</w:t>
            </w:r>
          </w:p>
          <w:p>
            <w:pPr>
              <w:pStyle w:val="TableParagraph"/>
              <w:widowControl w:val="false"/>
              <w:spacing w:before="60" w:after="0"/>
              <w:ind w:left="2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18"/>
                <w:lang w:eastAsia="en-US" w:bidi="ar-SA"/>
              </w:rPr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II.3.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pojezierny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wskazuje na mapie położenie pasa krajobrazowego pojezierzy;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krajobrazu charakterystyczne dla Pojezierza Mazurskiego.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krain geograficznych: Pojezierze Pomorskie, Pojezierze Wielkopolskie, Pojezierze Mazurskie;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Pojezierze Mazurskie w opisach, na filmach i ilustracjach.</w:t>
            </w:r>
          </w:p>
          <w:p>
            <w:pPr>
              <w:pStyle w:val="TableParagraph"/>
              <w:widowControl w:val="false"/>
              <w:spacing w:before="60" w:after="0"/>
              <w:ind w:left="2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cstheme="minorHAnsi" w:ascii="Calibri" w:hAnsi="Calibr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Pojezierza Mazurskiego: największe miasto regionu, Szlak Wielkich Jezior Mazurskich oraz jeziora Śniardwy i Mamry;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związek między ukształtowaniem powierzchni pojezierzy a występowaniem w przeszłości lądolodu;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aktywnego wypoczynku i sportów, które można uprawiać na Pojezierzu Mazurskim.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najważniejszych obiektów dziedzictwa kulturowego regionu i wskazuje je na mapie.</w:t>
            </w:r>
          </w:p>
          <w:p>
            <w:pPr>
              <w:pStyle w:val="TableParagraph"/>
              <w:widowControl w:val="false"/>
              <w:spacing w:before="60" w:after="0"/>
              <w:ind w:left="2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cstheme="minorHAnsi" w:ascii="Calibri" w:hAnsi="Calibr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wykazuje związek między granicą pasa pojezierzy a granicą ostatniego zlodowacenia na terenie Polski;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uzasadnia, dlaczego Pojezierze Mazurskie jest dla turystów ciekawym historycznie i przyrodniczo regionem Polski.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 wp14:anchorId="49FD8BA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635"/>
                <wp:effectExtent l="2540" t="1905" r="2540" b="1905"/>
                <wp:wrapNone/>
                <wp:docPr id="7" name="Line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24.4pt" to="42.9pt,524.4pt" ID="Line 148" stroked="t" o:allowincell="f" style="position:absolute;mso-position-horizontal-relative:page;mso-position-vertical-relative:page" wp14:anchorId="49FD8BA2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 wp14:anchorId="1EE2A38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635" cy="635"/>
                <wp:effectExtent l="5080" t="5080" r="5080" b="5080"/>
                <wp:wrapNone/>
                <wp:docPr id="8" name="Line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24.4pt" to="61.45pt,524.4pt" ID="Line 147" stroked="t" o:allowincell="f" style="position:absolute;mso-position-horizontal-relative:page;mso-position-vertical-relative:page" wp14:anchorId="1EE2A384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1"/>
        <w:rPr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II.4.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144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nizin środkowej Polski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pasa krajobrazowego nizin środkowopolskich;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krajobrazu charakterystyczne dla pasa nizin środkowopolskich.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Nizinę Mazowiecką oraz największe miasta regionu;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cechy charakterystyczne Niziny Mazowieckiej;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pojęcia: pradolina, kotlina.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krain geograficznych: Nizina Śląska, Południowowielkopolska, Mazowiecka, Północnopodlaska, Południowopodlaska;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parku narodowego utworzonego na obszarze Puszczy Kampinoskiej.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Kotlinę Warszawską oraz rzeki: Wisłę, Narew, Pilicę, Bzurę, Wkrę, Bug;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pojęcia: meandry, starorzecza;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cechy krajobrazu Puszczy Kampinoskiej.</w:t>
            </w:r>
          </w:p>
          <w:p>
            <w:pPr>
              <w:pStyle w:val="TableParagraph"/>
              <w:widowControl w:val="false"/>
              <w:spacing w:before="60" w:after="0"/>
              <w:ind w:left="2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cstheme="minorHAnsi" w:ascii="Calibri" w:hAnsi="Calibr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zależność między rozwojem rolnictwa na Nizinie Mazowieckiej a powierzchnią naturalnych lasów w tym regionie;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dlaczego na terenie Puszczy Kampinoskiej utworzono Kampinoski Park Narodowy.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II.5.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144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wielkomiejski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Warszawę;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cechy dużego miasta.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w Warszawie znajdują się siedziby najwyższych władz państwowych;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wybrane funkcje Warszawy;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na ilustracjach znane miejsca i budynki Warszawy.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największe miasta w Polsce;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planie Warszawy położenie wybranych znanych miejsc i budynków;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zalety i wady życia w wielkim mieście.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kiedy miejscowość możemy uznać za miasto;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nazwy części, z których składa się duże miasto (śródmieście, osiedla mieszkaniowe, dzielnice przemysłowe, przedmieścia).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krajobraz Warszawy i innych miast Polski;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przygotowuje w dowolnie wybranej formie informacje o dużym mieście położonym najbliżej swojego miejsca zamieszkania.</w:t>
            </w:r>
          </w:p>
        </w:tc>
      </w:tr>
      <w:tr>
        <w:trPr>
          <w:trHeight w:val="352" w:hRule="atLeast"/>
        </w:trPr>
        <w:tc>
          <w:tcPr>
            <w:tcW w:w="12922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color="auto" w:fill="FDC689" w:val="clear"/>
          </w:tcPr>
          <w:p>
            <w:pPr>
              <w:pStyle w:val="TableParagraph"/>
              <w:widowControl w:val="false"/>
              <w:spacing w:before="60" w:after="0"/>
              <w:ind w:left="28" w:right="136"/>
              <w:jc w:val="center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Podsumowanie działu II</w:t>
            </w:r>
          </w:p>
        </w:tc>
      </w:tr>
      <w:tr>
        <w:trPr>
          <w:trHeight w:val="2113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hanging="7"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III.1.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15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 xml:space="preserve">Krajobraz </w:t>
            </w:r>
          </w:p>
          <w:p>
            <w:pPr>
              <w:pStyle w:val="TableParagraph"/>
              <w:widowControl w:val="false"/>
              <w:spacing w:lineRule="auto" w:line="240" w:before="70" w:after="0"/>
              <w:ind w:left="113" w:right="-15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miejsko-</w:t>
              <w:br/>
              <w:t>-przemysłowy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pas wyżyn i Wyżynę Śląską;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główne cechy krajobrazu miejsko-przemysłowego Wyżyny Śląskiej.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rozpoznaje węgiel kamienny;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rozwój przemysłu na Wyżynie Śląskiej;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największe miasta Wyżyny Śląskiej.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krajobraz pasa wyżyn;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produktów wytworzonych przy wykorzystaniu węgla kamiennego;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pojęcia: przemysł, aglomeracja.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przedstawia pozytywne i negatywne zmiany w krajobrazie Wyżyny Śląskiej wynikające z działalności człowieka;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rewitalizacji na terenie Wyżyny Śląskiej.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podaje przykłady przemysłu ciężkiego;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zespół miejski Górnego Śląska to konurbacja;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coraz mnie osób na Górnym Śląsku pracuje w przemyśle.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 wp14:anchorId="7ABAA93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635"/>
                <wp:effectExtent l="2540" t="1905" r="2540" b="1905"/>
                <wp:wrapNone/>
                <wp:docPr id="9" name="Line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38.6pt" to="42.9pt,538.6pt" ID="Line 137" stroked="t" o:allowincell="f" style="position:absolute;mso-position-horizontal-relative:page;mso-position-vertical-relative:page" wp14:anchorId="7ABAA934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 wp14:anchorId="65FA29CC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635" cy="635"/>
                <wp:effectExtent l="5080" t="5080" r="5080" b="5080"/>
                <wp:wrapNone/>
                <wp:docPr id="10" name="Line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38.6pt" to="61.45pt,538.6pt" ID="Line 136" stroked="t" o:allowincell="f" style="position:absolute;mso-position-horizontal-relative:page;mso-position-vertical-relative:page" wp14:anchorId="65FA29CC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III.2.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rolniczy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Wyżynę Lubelską;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główne cechy krajobrazu Wyżyny Lubelskiej.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największe miasta Wyżyny Lubelskiej;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nazwę najżyźniejszej gleby w Polsce i nazwę skały, na której się utworzyła;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na ilustracjach i filmach wąwóz lessowy.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cechy charakterystyczne dla krajobrazu wiejskiego;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nazwy roślin uprawianych na Wyżynie Lubelskiej;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jak powstają wąwozy lessowe.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zależność między obecnością lessu a występowaniem czarnoziemu;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przeznaczenie uprawianych na Wyżynie Lubelskiej roślin oraz hodowanych zwierząt;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najważniejsze obiekty dziedzictwa kulturowego Wyżyny Lubelskiej.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udowadnia prawdziwość stwierdzenia, że Wyżynę Lubelską nazywa się czasem zagłębiem rolniczym Polski;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przygotowuje w dowolnie wybranej formie informacje o jednym z miejsc na Wyżynie Lubelskiej ważnym pod względem kulturowym.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III.3.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krasowy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Wyżynę Krakowsko-Częstochowską;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krajobrazu charakterystyczne dla Wyżyny Krakowsko-Częstochowskiej.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nazwę skały, w której zachodzi proces krasowienia (wapienie);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skałę wapienną;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nazywa główne elementy krajobrazu krasowego i rozpoznaje je na ilustracjach;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dzieli formy krasowe na kras powierzchniowy i podziemny.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Ojcowskiego Parku Narodowego;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Szlak Orlich Gniazd jako przykład dziedzictwa kulturowego regionu;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na czym polega krasowienie.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Wyżynę Krakowsko-Częstochowską nazywa się Jurą;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modelu, schemacie lub ilustracji formy naciekowe jaskini (stalaktyty, stalagmity, stalagnaty);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dziedzictwa przyrodniczego chronione w Ojcowskim Parku Narodowym.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na podstawie mapy atrakcje turystyczne Szlaku Orlich Gniazd;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zamki na Szlaku Orlich Gniazd mają białą barwę;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tworzy model jaskini krasowej.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2" wp14:anchorId="292A64A4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635"/>
                <wp:effectExtent l="2540" t="1905" r="2540" b="1905"/>
                <wp:wrapNone/>
                <wp:docPr id="11" name="Line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24.4pt" to="42.9pt,524.4pt" ID="Line 123" stroked="t" o:allowincell="f" style="position:absolute;mso-position-horizontal-relative:page;mso-position-vertical-relative:page" wp14:anchorId="292A64A4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 wp14:anchorId="5A63B92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635" cy="635"/>
                <wp:effectExtent l="5080" t="5080" r="5080" b="5080"/>
                <wp:wrapNone/>
                <wp:docPr id="12" name="Line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24.4pt" to="61.45pt,524.4pt" ID="Line 122" stroked="t" o:allowincell="f" style="position:absolute;mso-position-horizontal-relative:page;mso-position-vertical-relative:page" wp14:anchorId="5A63B92C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1"/>
        <w:rPr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III.4.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górski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pas gór oraz Tatry;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wymienia cechy krajobrazu wysokogórskiego;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nazwę parku narodowego leżącego w Tatrach.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Tatry Wysokie i Tatry Zachodnie;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nazywa i wskazuje na mapie najwyższe szczyty Tatr;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na ilustracjach elementy krajobrazu wysokogórskiego;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popularnych miejsc odwiedzanych przez turystów w Tatrach Wysokich i Zachodnich.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podobieństwa i różnice w krajobrazie Tatr Wysokich i Tatr Zachodnich;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omawia cechy pogody w górach;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po kolei piętra roślinności w Tatrach;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nazwy roślin i zwierząt charakterystycznych dla Tatr.</w:t>
            </w:r>
          </w:p>
          <w:p>
            <w:pPr>
              <w:pStyle w:val="TableParagraph"/>
              <w:widowControl w:val="false"/>
              <w:spacing w:before="60" w:after="0"/>
              <w:ind w:left="2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cstheme="minorHAnsi" w:ascii="Calibri" w:hAnsi="Calibr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łańcuchy górskie Karpat i Sudetów oraz ich najwyższe pasma górskie;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w górach roślinność układa się piętrowo;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na podstawie ilustracji piętra roślinności w Tatrach;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analizuje negatywny wpływ turystyki na środowisko Tatr.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wykazuje specyfikę regionu na podstawie map, zdjęć, filmów geograficznych;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jak powstaje wiatr halny;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przedstawia miejsce w Tatrach, które chciałby odwiedzić korzystając z różnych źródeł informacji.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III.5.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Ocena najbliższego krajobrazu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określa położenie najbliższej okolicy na mapie Polski;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elementy krajobrazu najbliższej okolicy, w tym elementy zagospodarowania antropogenicznego.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działań przyczyniających się do poprawy najbliższego otoczenia;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czym jest plan zagospodarowania przestrzennego.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w jakim celu dokonuje się oceny krajobrazu;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elementy, na które powinno się zwracać uwagę podczas oceny krajobrazu;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dokonuje oceny krajobrazu najbliższego otoczenia szkoły pod względem jego ładu i estetyki zagospodarowania.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proponuje zmiany w zagospodarowaniu terenu najbliższej okolicy, mające na celu poprawę estetyki i funkcjonalności.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przeprowadza szczegółową analizę krajobrazu najbliższej okolicy, uwzględniając aspekty przyrodnicze, społeczne i ekonomiczne.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opracowuje plan działań, mający na celu poprawę jakości krajobrazu najbliższego otoczenia, z uwzględnieniem zrównoważonego rozwoju i ochrony środowiska.</w:t>
            </w:r>
          </w:p>
        </w:tc>
      </w:tr>
      <w:tr>
        <w:trPr>
          <w:trHeight w:val="352" w:hRule="atLeast"/>
        </w:trPr>
        <w:tc>
          <w:tcPr>
            <w:tcW w:w="12922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color="auto" w:fill="FDC689" w:val="clear"/>
          </w:tcPr>
          <w:p>
            <w:pPr>
              <w:pStyle w:val="TableParagraph"/>
              <w:widowControl w:val="false"/>
              <w:spacing w:before="60" w:after="0"/>
              <w:ind w:left="28" w:right="136"/>
              <w:jc w:val="center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Podsumowanie działu III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4" wp14:anchorId="2B2B630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635"/>
                <wp:effectExtent l="2540" t="1905" r="2540" b="1905"/>
                <wp:wrapNone/>
                <wp:docPr id="13" name="Line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38.6pt" to="42.9pt,538.6pt" ID="Line 112" stroked="t" o:allowincell="f" style="position:absolute;mso-position-horizontal-relative:page;mso-position-vertical-relative:page" wp14:anchorId="2B2B630D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3A83A1B2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635" cy="635"/>
                <wp:effectExtent l="5080" t="5080" r="5080" b="5080"/>
                <wp:wrapNone/>
                <wp:docPr id="14" name="Line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38.6pt" to="61.45pt,538.6pt" ID="Line 111" stroked="t" o:allowincell="f" style="position:absolute;mso-position-horizontal-relative:page;mso-position-vertical-relative:page" wp14:anchorId="3A83A1B2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IV.1.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80" w:after="0"/>
              <w:ind w:left="113" w:right="144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Strefowość i piętrowość klimatyczno-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w w:val="9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-roślinna na świecie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nazwy stref klimatycznych i krajobrazowych występujących na Ziemi;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informacje z mapy średnie roczne temperatury powietrza na Ziemi i rocznej sumy opadów atmosferycznych.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położenie poszczególnych stref klimatycznych, używając mapy stref klimatycznych na Ziemi;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porządkuje strefy klimatyczne i krajobrazowe na Ziemi w kolejności od równika do biegunów;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na podstawie ilustracji strefy krajobrazowe Ziemi.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przedstawia zróżnicowanie temperatury powietrza i opadów atmosferycznych na Ziemi na podstawie map tematycznych;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każdą ze stref krajobrazowych;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zależność między różnicami w nagrzewaniu się powierzchni Ziemi a występowaniem stref klimatycznych.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wyjaśnia rozkład przestrzenny stref klimatyczno-krajobrazowych na świecie;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podobieństwa między układem stref krajobrazowych na Ziemi a piętrowością klimatyczno-roślinną na obszarach górskich.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IV.2.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144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Wilgotne lasy równikowe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określa położenie wilgotnych lasów równikowych;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strefy wilgotnych lasów równikowych.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nazwy obszarów występowania wilgotnych lasów równikowych i wskazuje je na mapie;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klimatogramu wartości temperatury powietrza i opadów w klimacie równikowym;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rośliny i zwierzęta typowe dla lasów równikowych na różnych kontynentach.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cechy klimatu równikowego;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budownictwa, sposobów gospodarowania, głównych zajęć mieszkańców wilgotnych lasów równikowych;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przystosowania się roślin do życia w klimacie równikowym wilgotnym.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nazwy warstw wilgotnego lasu równikowego i wskazuje te warstwy na ilustracji;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wilgotny las równikowy jest „wiecznie zielony”;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przystosowań człowieka do życia w lesie równikowym.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omawia wyjątkowość ekosystemów wilgotnego lasu równikowego;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współzależności między elementami krajobrazu wilgotnego lasu równikowego a warunkami życia człowieka.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" wp14:anchorId="44FB72F4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635"/>
                <wp:effectExtent l="2540" t="1905" r="2540" b="1905"/>
                <wp:wrapNone/>
                <wp:docPr id="15" name="Lin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24.4pt" to="42.9pt,524.4pt" ID="Line 98" stroked="t" o:allowincell="f" style="position:absolute;mso-position-horizontal-relative:page;mso-position-vertical-relative:page" wp14:anchorId="44FB72F4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 wp14:anchorId="7D75E12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635" cy="635"/>
                <wp:effectExtent l="5080" t="5080" r="5080" b="5080"/>
                <wp:wrapNone/>
                <wp:docPr id="16" name="Lin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24.4pt" to="61.45pt,524.4pt" ID="Line 97" stroked="t" o:allowincell="f" style="position:absolute;mso-position-horizontal-relative:page;mso-position-vertical-relative:page" wp14:anchorId="7D75E124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1"/>
        <w:rPr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IV.3.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2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Lasy strefy umiarkowanej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występowanie lasów strefy umiarkowanej;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lasów strefy umiarkowanej.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klimatogramu i map klimatycznych wartości temperatury powietrza i opadów w klimacie umiarkowanym;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lasy strefy umiarkowanej na zdjęciach, w opisach i filmach;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roślin i zwierząt żyjących w lasach strefy umiarkowanej.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cechy klimatu umiarkowanego;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nazwy termicznych pór roku występujących w klimacie umiarkowanym;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i nazywa piętra lasu strefy umiarkowanej.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wiele lasów strefy umiarkowanej zamieniono na pola uprawne;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uzasadnia wpływ warunków klimatycznych i krajobrazowych na życie człowieka w lasach strefy umiarkowanej;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warunki klimatyczne, krajobrazowe i siedliskowe lasu strefy umiarkowanej z lasami równikowymi.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przygotowuje prezentację dotyczącą lasu strefy umiarkowanej na podstawie własnych obserwacji terenowych, dokumentacji fotograficznej, filmowej i własnych notatek.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IV.4.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Sawanna i step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występowanie strefy sawanny i stepu;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strefy sawanny i stepu.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klimatogramu i map klimatycznych wartości temperatury powietrza i opadów w strefie sawanny i stepu;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sawannę i step na zdjęciach, w opisach i filmach;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roślin i zwierząt żyjących na sawannie i stepie.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charakterystyczne cechy klimatów sawanny i stepu;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na podstawie ilustracji krajobrazy sawann i stepów;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budownictwa, sposobów gospodarowania, głównych zajęć mieszkańców sawanny i stepu;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kim są nomadzi.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zmienność krajobrazu od lasu równikowego do suchej sawanny;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cechy krajobrazu sawann i stepów;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uzasadnia wpływ warunków klimatycznych i krajobrazowych na życie człowieka na sawannach i stepach.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czym jest i gdzie znajduje się obszar pampy i prerii, korzystając z różnych źródeł informacji.</w:t>
            </w:r>
          </w:p>
        </w:tc>
      </w:tr>
      <w:tr>
        <w:trPr>
          <w:trHeight w:val="352" w:hRule="atLeast"/>
        </w:trPr>
        <w:tc>
          <w:tcPr>
            <w:tcW w:w="12922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color="auto" w:fill="FDC689" w:val="clear"/>
          </w:tcPr>
          <w:p>
            <w:pPr>
              <w:pStyle w:val="TableParagraph"/>
              <w:widowControl w:val="false"/>
              <w:spacing w:before="60" w:after="0"/>
              <w:ind w:left="28" w:right="136"/>
              <w:jc w:val="center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Podsumowanie działu IV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8" wp14:anchorId="476BFB68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635"/>
                <wp:effectExtent l="2540" t="1905" r="2540" b="1905"/>
                <wp:wrapNone/>
                <wp:docPr id="17" name="Lin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38.6pt" to="42.9pt,538.6pt" ID="Line 87" stroked="t" o:allowincell="f" style="position:absolute;mso-position-horizontal-relative:page;mso-position-vertical-relative:page" wp14:anchorId="476BFB68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 wp14:anchorId="1498AD3C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635" cy="635"/>
                <wp:effectExtent l="5080" t="5080" r="5080" b="5080"/>
                <wp:wrapNone/>
                <wp:docPr id="18" name="Line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38.6pt" to="61.45pt,538.6pt" ID="Line 86" stroked="t" o:allowincell="f" style="position:absolute;mso-position-horizontal-relative:page;mso-position-vertical-relative:page" wp14:anchorId="1498AD3C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V.1.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 xml:space="preserve">Pustynie gorące </w:t>
              <w:br/>
              <w:t>i lodowe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występowanie stref pustyń gorących i pustyń lodowych;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pustyń gorących i lodowych.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klimatogramu i map klimatycznych wartości temperatury powietrza i opadów dla pustyń gorących i lodowych;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największe pustynie gorące i lodowe, podaje ich nazwy;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rozpoznaje cechy charakterystyczne pustyń gorących i lodowych;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przykłady roślin i zwierząt przystosowanych do życia na pustyni.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opisuje, jak warunki klimatyczne wpływają na życie na pustyni;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charakteryzuje przystosowanie wybranych roślin i zwierząt do życia na pustyni;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sposobów gospodarowania ludzi na pustyniach;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kim są Inuici.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pojęcie oazy i jej znaczenie dla życia na pustyni;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porównuje pustynie gorące i lodowe pod względem warunków klimatycznych, typowej roślinności i zwierząt.</w:t>
            </w:r>
          </w:p>
          <w:p>
            <w:pPr>
              <w:pStyle w:val="TableParagraph"/>
              <w:widowControl w:val="false"/>
              <w:spacing w:before="60" w:after="0"/>
              <w:ind w:left="2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cstheme="minorHAnsi" w:ascii="Calibri" w:hAnsi="Calibr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analizuje wpływ działalności człowieka na środowisko pustyń gorących i lodowych oraz wyzwania związane z ochroną tych obszarów.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V.2.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144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Tajga i tundra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strefy tajgi i tundry;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tajgi i tundry.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klimatogramu i map klimatycznych wartości temperatury powietrza i opadów w strefie tajgi i tundry;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przykłady roślin i zwierząt przystosowanych do życia w tych strefach;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zajęć, którymi trudnią się mieszkańcy tajgi i tundry.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opisuje, jak warunki klimatyczne wpływają na życie w tajdze i tundrze;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czym różni się tajga od tundry, podaje podobieństwa i różnice;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pojęcia: lasotundra, wieloletnia zmarzlina.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działalność człowieka w tajdze i tundrze oraz jej wpływ na te ekosystemy;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stawianie budynków na wieloletniej zmarzlinie jest utrudnione.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analizuje wpływ zmian klimatu na ekosystemy tajgi i tundry.</w:t>
            </w:r>
          </w:p>
        </w:tc>
      </w:tr>
    </w:tbl>
    <w:p>
      <w:pPr>
        <w:sectPr>
          <w:type w:val="nextPage"/>
          <w:pgSz w:orient="landscape" w:w="16160" w:h="11630"/>
          <w:pgMar w:left="1600" w:right="1360" w:gutter="0" w:header="0" w:top="0" w:footer="0" w:bottom="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0" wp14:anchorId="67F2EA9E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635"/>
                <wp:effectExtent l="2540" t="1905" r="2540" b="1905"/>
                <wp:wrapNone/>
                <wp:docPr id="19" name="Lin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9pt,524.4pt" to="42.9pt,524.4pt" ID="Line 73" stroked="t" o:allowincell="f" style="position:absolute;mso-position-horizontal-relative:page;mso-position-vertical-relative:page" wp14:anchorId="67F2EA9E">
                <v:stroke color="#231f20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 wp14:anchorId="6D1F911A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635" cy="635"/>
                <wp:effectExtent l="5080" t="5080" r="5080" b="5080"/>
                <wp:wrapNone/>
                <wp:docPr id="20" name="Lin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db91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45pt,524.4pt" to="61.45pt,524.4pt" ID="Line 72" stroked="t" o:allowincell="f" style="position:absolute;mso-position-horizontal-relative:page;mso-position-vertical-relative:page" wp14:anchorId="6D1F911A">
                <v:stroke color="#fdb913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0" w:after="1"/>
        <w:rPr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2923" w:type="dxa"/>
        <w:jc w:val="left"/>
        <w:tblInd w:w="1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63"/>
        <w:gridCol w:w="1452"/>
        <w:gridCol w:w="2182"/>
        <w:gridCol w:w="2180"/>
        <w:gridCol w:w="2181"/>
        <w:gridCol w:w="2182"/>
        <w:gridCol w:w="2182"/>
      </w:tblGrid>
      <w:tr>
        <w:trPr>
          <w:trHeight w:val="363" w:hRule="atLeast"/>
        </w:trPr>
        <w:tc>
          <w:tcPr>
            <w:tcW w:w="563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Wymagania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5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dopuszczająca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7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15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bardzo dobra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4BACC6"/>
            </w:tcBorders>
            <w:shd w:color="auto" w:fill="77B7CC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FFFFFF"/>
                <w:w w:val="8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w w:val="85"/>
                <w:kern w:val="0"/>
                <w:sz w:val="20"/>
                <w:szCs w:val="20"/>
                <w:lang w:eastAsia="en-US" w:bidi="ar-SA"/>
              </w:rPr>
              <w:t>ocena celująca</w:t>
            </w:r>
          </w:p>
        </w:tc>
      </w:tr>
      <w:tr>
        <w:trPr>
          <w:trHeight w:val="363" w:hRule="atLeast"/>
        </w:trPr>
        <w:tc>
          <w:tcPr>
            <w:tcW w:w="563" w:type="dxa"/>
            <w:vMerge w:val="continue"/>
            <w:tcBorders>
              <w:top w:val="single" w:sz="6" w:space="0" w:color="FFFFFF"/>
              <w:left w:val="single" w:sz="8" w:space="0" w:color="4BACC6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452" w:type="dxa"/>
            <w:vMerge w:val="continue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color="auto" w:fill="4FAAC3" w:val="clear"/>
            <w:vAlign w:val="center"/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color w:val="231F2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90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4BACC6"/>
            </w:tcBorders>
            <w:shd w:color="auto" w:fill="96C6D7" w:val="clear"/>
            <w:vAlign w:val="center"/>
          </w:tcPr>
          <w:p>
            <w:pPr>
              <w:pStyle w:val="TableParagraph"/>
              <w:widowControl w:val="false"/>
              <w:spacing w:before="2" w:after="0"/>
              <w:ind w:left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FFFF"/>
                <w:kern w:val="0"/>
                <w:sz w:val="20"/>
                <w:szCs w:val="20"/>
                <w:lang w:eastAsia="en-US" w:bidi="ar-SA"/>
              </w:rPr>
              <w:t>Uczeń</w:t>
            </w:r>
          </w:p>
        </w:tc>
      </w:tr>
      <w:tr>
        <w:trPr>
          <w:trHeight w:val="1896" w:hRule="atLeast"/>
        </w:trPr>
        <w:tc>
          <w:tcPr>
            <w:tcW w:w="56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firstLine="8" w:left="7" w:right="-56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V.3.</w:t>
            </w:r>
          </w:p>
        </w:tc>
        <w:tc>
          <w:tcPr>
            <w:tcW w:w="145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Krajobraz śródziemnomorski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regiony świata o klimacie śródziemnomorskim;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klimatu śródziemnomorskiego.</w:t>
            </w:r>
          </w:p>
        </w:tc>
        <w:tc>
          <w:tcPr>
            <w:tcW w:w="218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klimatogramu i map klimatycznych wartości temperatury powietrza i opadów w klimacie śródziemnomorskim;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co to jest makia;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typowych roślin dla tego krajobrazu.</w:t>
            </w:r>
          </w:p>
        </w:tc>
        <w:tc>
          <w:tcPr>
            <w:tcW w:w="218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cechy roślinności śródziemnomorskiej;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mapy nazwy państw leżących w basenie Morza Śródziemnego;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walorów turystycznych tego regionu;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312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krajobraz wybrzeża Morza Śródziemnego na podstawie fotografii.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na podstawie klimatogramów charakteryzuje przebieg temperatur powietrza i opadów w ciągu roku w strefie śródziemnomorskiej w zależności od położenia względem równika;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wyjaśnia, dlaczego w krajach śródziemnomorskich rozwinięta jest turystyka;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wpływ tego klimatu na sposób życia i gospodarkę ludzi.</w:t>
            </w:r>
          </w:p>
        </w:tc>
        <w:tc>
          <w:tcPr>
            <w:tcW w:w="218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analizuje wpływ działalności człowieka na krajobraz śródziemnomorski;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przygotowuje hasła reklamujące wakacje w wybranym kraju śródziemnomorskim.</w:t>
            </w:r>
          </w:p>
        </w:tc>
      </w:tr>
      <w:tr>
        <w:trPr>
          <w:trHeight w:val="2116" w:hRule="atLeast"/>
        </w:trPr>
        <w:tc>
          <w:tcPr>
            <w:tcW w:w="5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1D9" w:val="clear"/>
          </w:tcPr>
          <w:p>
            <w:pPr>
              <w:pStyle w:val="TableParagraph"/>
              <w:widowControl w:val="false"/>
              <w:spacing w:lineRule="auto" w:line="240" w:before="70" w:after="0"/>
              <w:ind w:left="7" w:right="-60"/>
              <w:jc w:val="center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V.4.</w:t>
            </w:r>
          </w:p>
        </w:tc>
        <w:tc>
          <w:tcPr>
            <w:tcW w:w="1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40" w:leader="none"/>
              </w:tabs>
              <w:spacing w:lineRule="auto" w:line="240" w:before="70" w:after="0"/>
              <w:ind w:left="113" w:right="300"/>
              <w:jc w:val="left"/>
              <w:rPr>
                <w:rFonts w:ascii="Calibri" w:hAnsi="Calibri" w:cs="Calibri" w:asciiTheme="minorHAnsi" w:cstheme="minorHAnsi" w:hAnsiTheme="minorHAnsi"/>
                <w:b/>
                <w:color w:val="231F2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Himalaje i ich mieszkańcy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położenie Himalajów;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co najmniej dwie cechy charakterystyczne dla krajobrazu wysokogórskiego Himalajów.</w:t>
            </w:r>
          </w:p>
        </w:tc>
        <w:tc>
          <w:tcPr>
            <w:tcW w:w="2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odczytuje z mapy nazwy państw położonych na obszarze Himalajów;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podstawowe cechy klimatu Himalajów;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wymienia przykłady zwierząt i roślin występujące w Himalajach.</w:t>
            </w:r>
          </w:p>
        </w:tc>
        <w:tc>
          <w:tcPr>
            <w:tcW w:w="2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wskazuje na mapie Mount Everest oraz Wyżynę Tybetańską i pasmo Karakorum;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kim są Szerpowie;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tradycyjne sposoby życia i gospodarki mieszkańców Himalajów;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5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podaje przykłady przystosowania zwierząt do życia w Himalajach.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analizuje wpływ środowiska naturalnego Himalajów na kulturę i codzienne życie ich mieszkańców;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7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opisuje warunki pogodowe panujące na szczycie Mount Everestu.</w:t>
            </w:r>
          </w:p>
        </w:tc>
        <w:tc>
          <w:tcPr>
            <w:tcW w:w="2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60" w:after="0"/>
              <w:ind w:hanging="170" w:left="198" w:right="136"/>
              <w:jc w:val="left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val="0D0D0D"/>
                <w:kern w:val="0"/>
                <w:sz w:val="18"/>
                <w:szCs w:val="18"/>
                <w:shd w:fill="FFFFFF" w:val="clear"/>
                <w:lang w:eastAsia="en-US" w:bidi="ar-SA"/>
              </w:rPr>
              <w:t>wyjaśnia jak zmienia się życie mieszkańców Himalajów w związku z rozwojem turystyki i globalizacją.</w:t>
            </w:r>
          </w:p>
        </w:tc>
      </w:tr>
      <w:tr>
        <w:trPr>
          <w:trHeight w:val="352" w:hRule="atLeast"/>
        </w:trPr>
        <w:tc>
          <w:tcPr>
            <w:tcW w:w="12922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color="auto" w:fill="FDC689" w:val="clear"/>
          </w:tcPr>
          <w:p>
            <w:pPr>
              <w:pStyle w:val="TableParagraph"/>
              <w:widowControl w:val="false"/>
              <w:spacing w:before="60" w:after="0"/>
              <w:ind w:left="28" w:right="136"/>
              <w:jc w:val="center"/>
              <w:rPr>
                <w:rFonts w:ascii="Calibri" w:hAnsi="Calibri" w:cs="Calibri" w:asciiTheme="minorHAnsi" w:cstheme="minorHAnsi" w:hAnsiTheme="minorHAnsi"/>
                <w:color w:val="0D0D0D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0"/>
                <w:szCs w:val="20"/>
                <w:lang w:eastAsia="en-US" w:bidi="ar-SA"/>
              </w:rPr>
              <w:t>Podsumowanie działu V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sectPr>
      <w:type w:val="nextPage"/>
      <w:pgSz w:orient="landscape" w:w="16160" w:h="11630"/>
      <w:pgMar w:left="1600" w:right="1360" w:gutter="0" w:header="0" w:top="0" w:footer="0" w:bottom="0"/>
      <w:paperSrc w:first="0" w:oth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 3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0"/>
        </w:tabs>
        <w:ind w:left="840" w:hanging="360"/>
      </w:pPr>
      <w:rPr>
        <w:rFonts w:ascii="Wingdings 3" w:hAnsi="Wingdings 3" w:cs="Wingdings 3" w:hint="default"/>
        <w:sz w:val="16"/>
        <w:szCs w:val="16"/>
        <w:color w:val="FFC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43b9d"/>
    <w:rPr>
      <w:rFonts w:ascii="Tahoma" w:hAnsi="Tahoma" w:eastAsia="Tahoma" w:cs="Tahoma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743b9d"/>
    <w:rPr>
      <w:rFonts w:ascii="Tahoma" w:hAnsi="Tahoma" w:eastAsia="Tahoma" w:cs="Tahoma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94" w:after="0"/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7" w:after="0"/>
      <w:ind w:left="296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43b9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43b9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Application>LibreOffice/24.2.4.2$Windows_X86_64 LibreOffice_project/51a6219feb6075d9a4c46691dcfe0cd9c4fff3c2</Application>
  <AppVersion>15.0000</AppVersion>
  <Pages>10</Pages>
  <Words>3070</Words>
  <Characters>19640</Characters>
  <CharactersWithSpaces>22044</CharactersWithSpaces>
  <Paragraphs>415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2024-07-14T15:30:00Z</dcterms:created>
  <dc:creator>Arkadiusz Głowacz, Maria Adamczewska, Barbara Dzięcioł-Kurczoba</dc:creator>
  <dc:description/>
  <cp:keywords>wymagania edukacujne</cp:keywords>
  <dc:language>pl-PL</dc:language>
  <cp:lastModifiedBy/>
  <cp:lastPrinted>2024-08-07T08:11:00Z</cp:lastPrinted>
  <dcterms:modified xsi:type="dcterms:W3CDTF">2024-09-09T07:52:14Z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